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DC" w:rsidRPr="00F5147A" w:rsidRDefault="00F5147A" w:rsidP="00075EE2">
      <w:pPr>
        <w:spacing w:after="120" w:line="240" w:lineRule="auto"/>
        <w:jc w:val="center"/>
        <w:rPr>
          <w:b/>
          <w:sz w:val="32"/>
        </w:rPr>
      </w:pPr>
      <w:r>
        <w:rPr>
          <w:b/>
          <w:sz w:val="32"/>
        </w:rPr>
        <w:t xml:space="preserve">                            </w:t>
      </w:r>
      <w:r w:rsidR="00075EE2" w:rsidRPr="00F5147A">
        <w:rPr>
          <w:b/>
          <w:sz w:val="32"/>
        </w:rPr>
        <w:t>Global Words Unit</w:t>
      </w:r>
      <w:r w:rsidR="00971A40" w:rsidRPr="00F5147A">
        <w:rPr>
          <w:b/>
          <w:sz w:val="32"/>
        </w:rPr>
        <w:t>s:</w:t>
      </w:r>
      <w:r w:rsidR="00075EE2" w:rsidRPr="00F5147A">
        <w:rPr>
          <w:b/>
          <w:sz w:val="32"/>
        </w:rPr>
        <w:t xml:space="preserve"> Scope &amp; Sequence</w:t>
      </w:r>
      <w:r>
        <w:rPr>
          <w:b/>
          <w:sz w:val="32"/>
        </w:rPr>
        <w:t xml:space="preserve">         </w:t>
      </w:r>
      <w:r w:rsidRPr="00F5147A">
        <w:rPr>
          <w:i/>
          <w:sz w:val="28"/>
        </w:rPr>
        <w:t>(draft Ju</w:t>
      </w:r>
      <w:r w:rsidR="007E0B62">
        <w:rPr>
          <w:i/>
          <w:sz w:val="28"/>
        </w:rPr>
        <w:t>ly</w:t>
      </w:r>
      <w:r w:rsidRPr="00F5147A">
        <w:rPr>
          <w:i/>
          <w:sz w:val="28"/>
        </w:rPr>
        <w:t>, 2014)</w:t>
      </w:r>
    </w:p>
    <w:p w:rsidR="00075EE2" w:rsidRPr="00075EE2" w:rsidRDefault="00075EE2" w:rsidP="00075EE2">
      <w:pPr>
        <w:spacing w:after="120" w:line="240" w:lineRule="auto"/>
        <w:jc w:val="center"/>
        <w:rPr>
          <w:sz w:val="2"/>
        </w:rPr>
      </w:pPr>
    </w:p>
    <w:tbl>
      <w:tblPr>
        <w:tblStyle w:val="TableGrid"/>
        <w:tblW w:w="10581" w:type="dxa"/>
        <w:tblInd w:w="392" w:type="dxa"/>
        <w:tblLook w:val="04A0" w:firstRow="1" w:lastRow="0" w:firstColumn="1" w:lastColumn="0" w:noHBand="0" w:noVBand="1"/>
      </w:tblPr>
      <w:tblGrid>
        <w:gridCol w:w="1553"/>
        <w:gridCol w:w="3088"/>
        <w:gridCol w:w="2970"/>
        <w:gridCol w:w="2970"/>
      </w:tblGrid>
      <w:tr w:rsidR="00075EE2" w:rsidTr="00F5147A">
        <w:trPr>
          <w:trHeight w:val="275"/>
        </w:trPr>
        <w:tc>
          <w:tcPr>
            <w:tcW w:w="1553" w:type="dxa"/>
            <w:shd w:val="clear" w:color="auto" w:fill="FFFF8B"/>
            <w:vAlign w:val="center"/>
          </w:tcPr>
          <w:p w:rsidR="00075EE2" w:rsidRPr="00971A40" w:rsidRDefault="00075EE2" w:rsidP="00F5147A">
            <w:pPr>
              <w:spacing w:before="60" w:after="60"/>
              <w:jc w:val="center"/>
              <w:rPr>
                <w:b/>
                <w:sz w:val="24"/>
              </w:rPr>
            </w:pPr>
            <w:r w:rsidRPr="00F5147A">
              <w:rPr>
                <w:b/>
                <w:sz w:val="28"/>
              </w:rPr>
              <w:t>Year Level</w:t>
            </w:r>
          </w:p>
        </w:tc>
        <w:tc>
          <w:tcPr>
            <w:tcW w:w="3088" w:type="dxa"/>
            <w:tcBorders>
              <w:bottom w:val="single" w:sz="4" w:space="0" w:color="auto"/>
            </w:tcBorders>
            <w:shd w:val="clear" w:color="auto" w:fill="FFFF8B"/>
            <w:vAlign w:val="center"/>
          </w:tcPr>
          <w:p w:rsidR="00075EE2" w:rsidRPr="00971A40" w:rsidRDefault="00075EE2" w:rsidP="00F5147A">
            <w:pPr>
              <w:spacing w:before="60" w:after="60"/>
              <w:jc w:val="center"/>
              <w:rPr>
                <w:b/>
                <w:sz w:val="24"/>
              </w:rPr>
            </w:pPr>
            <w:r w:rsidRPr="00971A40">
              <w:rPr>
                <w:b/>
                <w:sz w:val="24"/>
              </w:rPr>
              <w:t>Unit 1</w:t>
            </w:r>
            <w:r w:rsidR="00A70110">
              <w:rPr>
                <w:b/>
                <w:sz w:val="24"/>
              </w:rPr>
              <w:t xml:space="preserve"> – </w:t>
            </w:r>
            <w:r w:rsidR="00A70110" w:rsidRPr="00F5147A">
              <w:rPr>
                <w:b/>
                <w:sz w:val="28"/>
              </w:rPr>
              <w:t>Even years</w:t>
            </w:r>
          </w:p>
        </w:tc>
        <w:tc>
          <w:tcPr>
            <w:tcW w:w="2970" w:type="dxa"/>
            <w:tcBorders>
              <w:bottom w:val="single" w:sz="4" w:space="0" w:color="auto"/>
            </w:tcBorders>
            <w:shd w:val="clear" w:color="auto" w:fill="FFFF8B"/>
            <w:vAlign w:val="center"/>
          </w:tcPr>
          <w:p w:rsidR="00075EE2" w:rsidRPr="00971A40" w:rsidRDefault="00075EE2" w:rsidP="00F5147A">
            <w:pPr>
              <w:spacing w:before="60" w:after="60"/>
              <w:jc w:val="center"/>
              <w:rPr>
                <w:b/>
                <w:sz w:val="24"/>
              </w:rPr>
            </w:pPr>
            <w:r w:rsidRPr="00971A40">
              <w:rPr>
                <w:b/>
                <w:sz w:val="24"/>
              </w:rPr>
              <w:t>Unit 2</w:t>
            </w:r>
            <w:r w:rsidR="00A70110">
              <w:rPr>
                <w:b/>
                <w:sz w:val="24"/>
              </w:rPr>
              <w:t xml:space="preserve"> – </w:t>
            </w:r>
            <w:r w:rsidR="00A70110" w:rsidRPr="00F5147A">
              <w:rPr>
                <w:b/>
                <w:sz w:val="28"/>
              </w:rPr>
              <w:t>Odd years</w:t>
            </w:r>
          </w:p>
        </w:tc>
        <w:tc>
          <w:tcPr>
            <w:tcW w:w="2970" w:type="dxa"/>
            <w:tcBorders>
              <w:bottom w:val="single" w:sz="4" w:space="0" w:color="auto"/>
            </w:tcBorders>
            <w:shd w:val="clear" w:color="auto" w:fill="FFFF8B"/>
            <w:vAlign w:val="center"/>
          </w:tcPr>
          <w:p w:rsidR="00075EE2" w:rsidRDefault="00075EE2" w:rsidP="00F5147A">
            <w:pPr>
              <w:spacing w:before="60" w:after="60"/>
              <w:jc w:val="center"/>
            </w:pPr>
            <w:r w:rsidRPr="00971A40">
              <w:rPr>
                <w:b/>
                <w:sz w:val="24"/>
              </w:rPr>
              <w:t>Unit 3</w:t>
            </w:r>
            <w:r w:rsidR="00971A40" w:rsidRPr="00971A40">
              <w:rPr>
                <w:b/>
                <w:sz w:val="24"/>
              </w:rPr>
              <w:t>*</w:t>
            </w:r>
            <w:r w:rsidR="00971A40" w:rsidRPr="00971A40">
              <w:rPr>
                <w:sz w:val="24"/>
              </w:rPr>
              <w:t xml:space="preserve"> </w:t>
            </w:r>
            <w:r w:rsidR="00971A40">
              <w:rPr>
                <w:sz w:val="24"/>
              </w:rPr>
              <w:t xml:space="preserve"> </w:t>
            </w:r>
            <w:r w:rsidR="00971A40">
              <w:t>English/Geography</w:t>
            </w:r>
          </w:p>
        </w:tc>
      </w:tr>
      <w:tr w:rsidR="00075EE2" w:rsidTr="00971A40">
        <w:trPr>
          <w:trHeight w:val="2874"/>
        </w:trPr>
        <w:tc>
          <w:tcPr>
            <w:tcW w:w="1553" w:type="dxa"/>
            <w:shd w:val="clear" w:color="auto" w:fill="C2D69B" w:themeFill="accent3" w:themeFillTint="99"/>
            <w:vAlign w:val="center"/>
          </w:tcPr>
          <w:p w:rsidR="00075EE2" w:rsidRPr="00971A40" w:rsidRDefault="00075EE2" w:rsidP="00971A40">
            <w:pPr>
              <w:rPr>
                <w:b/>
                <w:sz w:val="24"/>
              </w:rPr>
            </w:pPr>
            <w:r w:rsidRPr="00971A40">
              <w:rPr>
                <w:b/>
                <w:sz w:val="24"/>
              </w:rPr>
              <w:t>Year 3</w:t>
            </w:r>
          </w:p>
        </w:tc>
        <w:tc>
          <w:tcPr>
            <w:tcW w:w="3088" w:type="dxa"/>
            <w:tcBorders>
              <w:bottom w:val="single" w:sz="4" w:space="0" w:color="auto"/>
            </w:tcBorders>
            <w:shd w:val="clear" w:color="auto" w:fill="EAF1DD" w:themeFill="accent3" w:themeFillTint="33"/>
            <w:vAlign w:val="center"/>
          </w:tcPr>
          <w:p w:rsidR="00075EE2" w:rsidRPr="006459BA" w:rsidRDefault="00075EE2" w:rsidP="00971A40">
            <w:pPr>
              <w:rPr>
                <w:rFonts w:ascii="Arial" w:hAnsi="Arial" w:cs="Arial"/>
                <w:b/>
                <w:lang w:val="en-US"/>
              </w:rPr>
            </w:pPr>
            <w:r w:rsidRPr="006459BA">
              <w:rPr>
                <w:rFonts w:ascii="Arial" w:hAnsi="Arial" w:cs="Arial"/>
                <w:b/>
                <w:lang w:val="en-US"/>
              </w:rPr>
              <w:t>Refugees</w:t>
            </w:r>
            <w:r w:rsidR="006459BA">
              <w:rPr>
                <w:rFonts w:ascii="Arial" w:hAnsi="Arial" w:cs="Arial"/>
                <w:b/>
                <w:lang w:val="en-US"/>
              </w:rPr>
              <w:t xml:space="preserve"> and Migration: Words unite u</w:t>
            </w:r>
            <w:r w:rsidRPr="006459BA">
              <w:rPr>
                <w:rFonts w:ascii="Arial" w:hAnsi="Arial" w:cs="Arial"/>
                <w:b/>
                <w:lang w:val="en-US"/>
              </w:rPr>
              <w:t>s</w:t>
            </w:r>
          </w:p>
          <w:p w:rsidR="00075EE2" w:rsidRDefault="006459BA" w:rsidP="00971A40">
            <w:r>
              <w:rPr>
                <w:lang w:val="en-US"/>
              </w:rPr>
              <w:t>E</w:t>
            </w:r>
            <w:r w:rsidR="00075EE2">
              <w:rPr>
                <w:lang w:val="en-US"/>
              </w:rPr>
              <w:t>xplore</w:t>
            </w:r>
            <w:r>
              <w:rPr>
                <w:lang w:val="en-US"/>
              </w:rPr>
              <w:t>s</w:t>
            </w:r>
            <w:r w:rsidR="00075EE2">
              <w:rPr>
                <w:lang w:val="en-US"/>
              </w:rPr>
              <w:t xml:space="preserve"> our common humanity, using books </w:t>
            </w:r>
            <w:r w:rsidR="00075EE2">
              <w:rPr>
                <w:rStyle w:val="Emphasis"/>
                <w:lang w:val="en-US"/>
              </w:rPr>
              <w:t>Whoever You Are</w:t>
            </w:r>
            <w:r w:rsidR="00075EE2">
              <w:rPr>
                <w:lang w:val="en-US"/>
              </w:rPr>
              <w:t xml:space="preserve">, by Mem Fox, illustrated by Leslie Staub, </w:t>
            </w:r>
            <w:r w:rsidR="00075EE2">
              <w:rPr>
                <w:rStyle w:val="Emphasis"/>
                <w:lang w:val="en-US"/>
              </w:rPr>
              <w:t>Mirror</w:t>
            </w:r>
            <w:r w:rsidR="00075EE2">
              <w:rPr>
                <w:lang w:val="en-US"/>
              </w:rPr>
              <w:t xml:space="preserve">, by Jeannie Baker, and </w:t>
            </w:r>
            <w:r w:rsidR="00075EE2">
              <w:rPr>
                <w:rStyle w:val="Emphasis"/>
                <w:lang w:val="en-US"/>
              </w:rPr>
              <w:t>The Little Refugee</w:t>
            </w:r>
            <w:r w:rsidR="00075EE2">
              <w:rPr>
                <w:lang w:val="en-US"/>
              </w:rPr>
              <w:t xml:space="preserve"> by Anh Do and Suzanne Do, illustrated by Bruce Whately.</w:t>
            </w:r>
          </w:p>
        </w:tc>
        <w:tc>
          <w:tcPr>
            <w:tcW w:w="2970" w:type="dxa"/>
            <w:tcBorders>
              <w:bottom w:val="single" w:sz="4" w:space="0" w:color="auto"/>
            </w:tcBorders>
            <w:shd w:val="clear" w:color="auto" w:fill="EAF1DD" w:themeFill="accent3" w:themeFillTint="33"/>
            <w:vAlign w:val="center"/>
          </w:tcPr>
          <w:p w:rsidR="00075EE2" w:rsidRDefault="00075EE2" w:rsidP="00971A40">
            <w:pPr>
              <w:rPr>
                <w:lang w:val="en-US"/>
              </w:rPr>
            </w:pPr>
            <w:r w:rsidRPr="007F708B">
              <w:rPr>
                <w:rFonts w:ascii="Arial" w:hAnsi="Arial" w:cs="Arial"/>
                <w:b/>
                <w:szCs w:val="21"/>
              </w:rPr>
              <w:t>Neighbours, Asia/Pacific</w:t>
            </w:r>
            <w:r>
              <w:rPr>
                <w:rFonts w:ascii="Arial" w:hAnsi="Arial" w:cs="Arial"/>
                <w:b/>
                <w:szCs w:val="21"/>
              </w:rPr>
              <w:t>: Neighbours</w:t>
            </w:r>
          </w:p>
          <w:p w:rsidR="00075EE2" w:rsidRDefault="006459BA" w:rsidP="00971A40">
            <w:r>
              <w:rPr>
                <w:lang w:val="en-US"/>
              </w:rPr>
              <w:t>E</w:t>
            </w:r>
            <w:r w:rsidR="00075EE2">
              <w:rPr>
                <w:lang w:val="en-US"/>
              </w:rPr>
              <w:t>xplore</w:t>
            </w:r>
            <w:r>
              <w:rPr>
                <w:lang w:val="en-US"/>
              </w:rPr>
              <w:t>s</w:t>
            </w:r>
            <w:r w:rsidR="00075EE2">
              <w:rPr>
                <w:lang w:val="en-US"/>
              </w:rPr>
              <w:t xml:space="preserve"> the theme through narrative, poetry and factual texts, using Amelia Ellicott’s </w:t>
            </w:r>
            <w:r w:rsidR="00075EE2">
              <w:rPr>
                <w:rStyle w:val="Emphasis"/>
                <w:lang w:val="en-US"/>
              </w:rPr>
              <w:t>Garden</w:t>
            </w:r>
            <w:r w:rsidR="00075EE2">
              <w:rPr>
                <w:lang w:val="en-US"/>
              </w:rPr>
              <w:t xml:space="preserve">, by Liliana Stafford and Stephen Michael King, </w:t>
            </w:r>
            <w:r w:rsidR="00075EE2">
              <w:rPr>
                <w:rStyle w:val="Emphasis"/>
                <w:lang w:val="en-US"/>
              </w:rPr>
              <w:t>Rose Meets Mr Wintergarten</w:t>
            </w:r>
            <w:r w:rsidR="00075EE2">
              <w:rPr>
                <w:lang w:val="en-US"/>
              </w:rPr>
              <w:t xml:space="preserve"> by Bob Graham, and </w:t>
            </w:r>
            <w:r w:rsidR="00075EE2">
              <w:rPr>
                <w:rStyle w:val="Emphasis"/>
                <w:lang w:val="en-US"/>
              </w:rPr>
              <w:t>Side by Side</w:t>
            </w:r>
            <w:r w:rsidR="00075EE2">
              <w:rPr>
                <w:lang w:val="en-US"/>
              </w:rPr>
              <w:t xml:space="preserve"> by Janet King.</w:t>
            </w:r>
          </w:p>
        </w:tc>
        <w:tc>
          <w:tcPr>
            <w:tcW w:w="2970" w:type="dxa"/>
            <w:tcBorders>
              <w:bottom w:val="single" w:sz="4" w:space="0" w:color="auto"/>
            </w:tcBorders>
            <w:shd w:val="clear" w:color="auto" w:fill="EAF1DD" w:themeFill="accent3" w:themeFillTint="33"/>
            <w:vAlign w:val="center"/>
          </w:tcPr>
          <w:p w:rsidR="00075EE2" w:rsidRDefault="00075EE2" w:rsidP="00971A40">
            <w:pPr>
              <w:rPr>
                <w:lang w:val="en-US"/>
              </w:rPr>
            </w:pPr>
            <w:r w:rsidRPr="007F708B">
              <w:rPr>
                <w:rFonts w:ascii="Arial" w:hAnsi="Arial" w:cs="Arial"/>
                <w:b/>
                <w:szCs w:val="21"/>
              </w:rPr>
              <w:t>Neighbours, Asia/Pacific</w:t>
            </w:r>
            <w:r>
              <w:rPr>
                <w:rFonts w:ascii="Arial" w:hAnsi="Arial" w:cs="Arial"/>
                <w:b/>
                <w:szCs w:val="21"/>
              </w:rPr>
              <w:t>:</w:t>
            </w:r>
            <w:r w:rsidR="006459BA">
              <w:rPr>
                <w:rFonts w:ascii="Arial" w:hAnsi="Arial" w:cs="Arial"/>
                <w:b/>
                <w:szCs w:val="21"/>
              </w:rPr>
              <w:t xml:space="preserve"> We are the same but d</w:t>
            </w:r>
            <w:r>
              <w:rPr>
                <w:rFonts w:ascii="Arial" w:hAnsi="Arial" w:cs="Arial"/>
                <w:b/>
                <w:szCs w:val="21"/>
              </w:rPr>
              <w:t>ifferent</w:t>
            </w:r>
          </w:p>
          <w:p w:rsidR="00075EE2" w:rsidRDefault="006459BA" w:rsidP="00971A40">
            <w:r>
              <w:rPr>
                <w:lang w:val="en-US"/>
              </w:rPr>
              <w:t>D</w:t>
            </w:r>
            <w:r w:rsidR="00075EE2">
              <w:rPr>
                <w:lang w:val="en-US"/>
              </w:rPr>
              <w:t>evelop</w:t>
            </w:r>
            <w:r>
              <w:rPr>
                <w:lang w:val="en-US"/>
              </w:rPr>
              <w:t>s</w:t>
            </w:r>
            <w:r w:rsidR="00075EE2">
              <w:rPr>
                <w:lang w:val="en-US"/>
              </w:rPr>
              <w:t xml:space="preserve"> students’ knowledge of children in different geographic places, and to learn that some differences which exist between children represent injustice, such as child labour.</w:t>
            </w:r>
          </w:p>
        </w:tc>
      </w:tr>
      <w:tr w:rsidR="006459BA" w:rsidTr="00971A40">
        <w:trPr>
          <w:trHeight w:val="2833"/>
        </w:trPr>
        <w:tc>
          <w:tcPr>
            <w:tcW w:w="1553" w:type="dxa"/>
            <w:shd w:val="clear" w:color="auto" w:fill="92CDDC" w:themeFill="accent5" w:themeFillTint="99"/>
            <w:vAlign w:val="center"/>
          </w:tcPr>
          <w:p w:rsidR="006459BA" w:rsidRPr="00971A40" w:rsidRDefault="00255748" w:rsidP="00971A40">
            <w:pPr>
              <w:rPr>
                <w:b/>
                <w:sz w:val="24"/>
              </w:rPr>
            </w:pPr>
            <w:r>
              <w:rPr>
                <w:b/>
                <w:sz w:val="24"/>
              </w:rPr>
              <w:t xml:space="preserve">Year </w:t>
            </w:r>
            <w:r w:rsidR="006459BA" w:rsidRPr="00971A40">
              <w:rPr>
                <w:b/>
                <w:sz w:val="24"/>
              </w:rPr>
              <w:t>4</w:t>
            </w:r>
          </w:p>
        </w:tc>
        <w:tc>
          <w:tcPr>
            <w:tcW w:w="3088" w:type="dxa"/>
            <w:tcBorders>
              <w:bottom w:val="single" w:sz="4" w:space="0" w:color="auto"/>
            </w:tcBorders>
            <w:shd w:val="clear" w:color="auto" w:fill="DAEEF3" w:themeFill="accent5" w:themeFillTint="33"/>
            <w:vAlign w:val="center"/>
          </w:tcPr>
          <w:p w:rsidR="00917352" w:rsidRDefault="00917352" w:rsidP="00971A40">
            <w:pPr>
              <w:rPr>
                <w:rFonts w:ascii="Arial" w:hAnsi="Arial" w:cs="Arial"/>
                <w:b/>
                <w:szCs w:val="21"/>
              </w:rPr>
            </w:pPr>
            <w:r w:rsidRPr="007F708B">
              <w:rPr>
                <w:rFonts w:ascii="Arial" w:hAnsi="Arial" w:cs="Arial"/>
                <w:b/>
                <w:szCs w:val="21"/>
              </w:rPr>
              <w:t>Sustainability</w:t>
            </w:r>
            <w:r>
              <w:rPr>
                <w:rFonts w:ascii="Arial" w:hAnsi="Arial" w:cs="Arial"/>
                <w:b/>
                <w:szCs w:val="21"/>
              </w:rPr>
              <w:t>: Taking care of Earth together</w:t>
            </w:r>
          </w:p>
          <w:p w:rsidR="006459BA" w:rsidRPr="00075EE2" w:rsidRDefault="00917352" w:rsidP="00971A40">
            <w:pPr>
              <w:rPr>
                <w:rFonts w:ascii="Arial" w:hAnsi="Arial" w:cs="Arial"/>
                <w:b/>
                <w:szCs w:val="21"/>
              </w:rPr>
            </w:pPr>
            <w:r>
              <w:rPr>
                <w:lang w:val="en-US"/>
              </w:rPr>
              <w:t xml:space="preserve">Explores our shared responsibility to care for the environment for future generations, using a play, a poem, and </w:t>
            </w:r>
            <w:r>
              <w:rPr>
                <w:rStyle w:val="Emphasis"/>
                <w:lang w:val="en-US"/>
              </w:rPr>
              <w:t>The Tomorrow Book</w:t>
            </w:r>
            <w:r>
              <w:rPr>
                <w:lang w:val="en-US"/>
              </w:rPr>
              <w:t xml:space="preserve"> by Jackie French and illustrated by Sue deGennaro.</w:t>
            </w:r>
          </w:p>
        </w:tc>
        <w:tc>
          <w:tcPr>
            <w:tcW w:w="2970" w:type="dxa"/>
            <w:tcBorders>
              <w:bottom w:val="single" w:sz="4" w:space="0" w:color="auto"/>
            </w:tcBorders>
            <w:shd w:val="clear" w:color="auto" w:fill="DAEEF3" w:themeFill="accent5" w:themeFillTint="33"/>
            <w:vAlign w:val="center"/>
          </w:tcPr>
          <w:p w:rsidR="00917352" w:rsidRDefault="00917352" w:rsidP="00971A40">
            <w:pPr>
              <w:rPr>
                <w:rFonts w:ascii="Arial" w:hAnsi="Arial" w:cs="Arial"/>
                <w:b/>
                <w:szCs w:val="21"/>
              </w:rPr>
            </w:pPr>
            <w:r>
              <w:rPr>
                <w:rFonts w:ascii="Arial" w:hAnsi="Arial" w:cs="Arial"/>
                <w:b/>
                <w:szCs w:val="21"/>
              </w:rPr>
              <w:t>Indigenous Peoples: Stories to unite us</w:t>
            </w:r>
          </w:p>
          <w:p w:rsidR="006459BA" w:rsidRPr="00075EE2" w:rsidRDefault="00917352" w:rsidP="00971A40">
            <w:pPr>
              <w:rPr>
                <w:rFonts w:ascii="Arial" w:hAnsi="Arial" w:cs="Arial"/>
                <w:b/>
                <w:szCs w:val="21"/>
              </w:rPr>
            </w:pPr>
            <w:r>
              <w:rPr>
                <w:lang w:val="en-US"/>
              </w:rPr>
              <w:t xml:space="preserve">Explores aspects of Australian Aboriginal and Torres Strait Islander cultures, using the picture books </w:t>
            </w:r>
            <w:r>
              <w:rPr>
                <w:rStyle w:val="Emphasis"/>
                <w:lang w:val="en-US"/>
              </w:rPr>
              <w:t>You and Me: Our Place</w:t>
            </w:r>
            <w:r>
              <w:rPr>
                <w:lang w:val="en-US"/>
              </w:rPr>
              <w:t xml:space="preserve"> by Leonie Norrington and Dee Huxley and Yorta Yorta stories retold in </w:t>
            </w:r>
            <w:r>
              <w:rPr>
                <w:rStyle w:val="Emphasis"/>
                <w:lang w:val="en-US"/>
              </w:rPr>
              <w:t>Stories from the Billabong</w:t>
            </w:r>
            <w:r>
              <w:rPr>
                <w:lang w:val="en-US"/>
              </w:rPr>
              <w:t>.</w:t>
            </w:r>
          </w:p>
        </w:tc>
        <w:tc>
          <w:tcPr>
            <w:tcW w:w="2970" w:type="dxa"/>
            <w:tcBorders>
              <w:bottom w:val="single" w:sz="4" w:space="0" w:color="auto"/>
            </w:tcBorders>
            <w:shd w:val="clear" w:color="auto" w:fill="DAEEF3" w:themeFill="accent5" w:themeFillTint="33"/>
            <w:vAlign w:val="center"/>
          </w:tcPr>
          <w:p w:rsidR="006459BA" w:rsidRDefault="006459BA" w:rsidP="00971A40"/>
        </w:tc>
      </w:tr>
      <w:tr w:rsidR="006459BA" w:rsidTr="00971A40">
        <w:trPr>
          <w:trHeight w:val="3170"/>
        </w:trPr>
        <w:tc>
          <w:tcPr>
            <w:tcW w:w="1553" w:type="dxa"/>
            <w:tcBorders>
              <w:bottom w:val="single" w:sz="4" w:space="0" w:color="auto"/>
            </w:tcBorders>
            <w:shd w:val="clear" w:color="auto" w:fill="B2A1C7" w:themeFill="accent4" w:themeFillTint="99"/>
            <w:vAlign w:val="center"/>
          </w:tcPr>
          <w:p w:rsidR="006459BA" w:rsidRPr="00971A40" w:rsidRDefault="006459BA" w:rsidP="00971A40">
            <w:pPr>
              <w:rPr>
                <w:b/>
                <w:sz w:val="24"/>
              </w:rPr>
            </w:pPr>
            <w:r w:rsidRPr="00971A40">
              <w:rPr>
                <w:b/>
                <w:sz w:val="24"/>
              </w:rPr>
              <w:t>Year 5</w:t>
            </w:r>
          </w:p>
        </w:tc>
        <w:tc>
          <w:tcPr>
            <w:tcW w:w="3088" w:type="dxa"/>
            <w:tcBorders>
              <w:bottom w:val="single" w:sz="4" w:space="0" w:color="auto"/>
            </w:tcBorders>
            <w:shd w:val="clear" w:color="auto" w:fill="E5DFEC" w:themeFill="accent4" w:themeFillTint="33"/>
            <w:vAlign w:val="center"/>
          </w:tcPr>
          <w:p w:rsidR="006459BA" w:rsidRDefault="006459BA" w:rsidP="00971A40">
            <w:pPr>
              <w:rPr>
                <w:lang w:val="en-US"/>
              </w:rPr>
            </w:pPr>
            <w:r w:rsidRPr="007F708B">
              <w:rPr>
                <w:rFonts w:ascii="Arial" w:hAnsi="Arial" w:cs="Arial"/>
                <w:b/>
                <w:szCs w:val="21"/>
              </w:rPr>
              <w:t>Neighbours, Asia/Pacific</w:t>
            </w:r>
            <w:r>
              <w:rPr>
                <w:rFonts w:ascii="Arial" w:hAnsi="Arial" w:cs="Arial"/>
                <w:b/>
                <w:szCs w:val="21"/>
              </w:rPr>
              <w:t>: Neighbours PNG</w:t>
            </w:r>
          </w:p>
          <w:p w:rsidR="006459BA" w:rsidRDefault="006459BA" w:rsidP="00971A40">
            <w:r>
              <w:rPr>
                <w:lang w:val="en-US"/>
              </w:rPr>
              <w:t>Begins with the concept of neighbourliness to extends the focus to our Pacific Island neighbour, Papua New Guinea —its place in relation to Australia, major languages and the culture of traditional storytelling.</w:t>
            </w:r>
          </w:p>
        </w:tc>
        <w:tc>
          <w:tcPr>
            <w:tcW w:w="2970" w:type="dxa"/>
            <w:tcBorders>
              <w:bottom w:val="single" w:sz="4" w:space="0" w:color="auto"/>
            </w:tcBorders>
            <w:shd w:val="clear" w:color="auto" w:fill="E5DFEC" w:themeFill="accent4" w:themeFillTint="33"/>
            <w:vAlign w:val="center"/>
          </w:tcPr>
          <w:p w:rsidR="006459BA" w:rsidRDefault="006459BA" w:rsidP="00971A40">
            <w:pPr>
              <w:rPr>
                <w:rFonts w:ascii="Arial" w:hAnsi="Arial" w:cs="Arial"/>
                <w:b/>
                <w:szCs w:val="21"/>
              </w:rPr>
            </w:pPr>
            <w:r>
              <w:rPr>
                <w:rFonts w:ascii="Arial" w:hAnsi="Arial" w:cs="Arial"/>
                <w:b/>
                <w:szCs w:val="21"/>
              </w:rPr>
              <w:t>Indigenous Peoples: People, place, language and song</w:t>
            </w:r>
          </w:p>
          <w:p w:rsidR="006459BA" w:rsidRDefault="006459BA" w:rsidP="00971A40">
            <w:r>
              <w:rPr>
                <w:lang w:val="en-US"/>
              </w:rPr>
              <w:t>Includes music video clips and illustrated books through which concepts of place, language and song are explored as they relate to Aboriginal and Torres Strait Islander peoples and their cultures.</w:t>
            </w:r>
          </w:p>
        </w:tc>
        <w:tc>
          <w:tcPr>
            <w:tcW w:w="2970" w:type="dxa"/>
            <w:tcBorders>
              <w:bottom w:val="single" w:sz="4" w:space="0" w:color="auto"/>
            </w:tcBorders>
            <w:shd w:val="clear" w:color="auto" w:fill="E5DFEC" w:themeFill="accent4" w:themeFillTint="33"/>
            <w:vAlign w:val="center"/>
          </w:tcPr>
          <w:p w:rsidR="006459BA" w:rsidRDefault="006459BA" w:rsidP="00971A40"/>
        </w:tc>
      </w:tr>
      <w:tr w:rsidR="006459BA" w:rsidTr="00AD29AE">
        <w:trPr>
          <w:trHeight w:val="2904"/>
        </w:trPr>
        <w:tc>
          <w:tcPr>
            <w:tcW w:w="1553" w:type="dxa"/>
            <w:tcBorders>
              <w:bottom w:val="single" w:sz="4" w:space="0" w:color="auto"/>
            </w:tcBorders>
            <w:shd w:val="clear" w:color="auto" w:fill="D99594" w:themeFill="accent2" w:themeFillTint="99"/>
            <w:vAlign w:val="center"/>
          </w:tcPr>
          <w:p w:rsidR="006459BA" w:rsidRPr="00971A40" w:rsidRDefault="006459BA" w:rsidP="00971A40">
            <w:pPr>
              <w:rPr>
                <w:b/>
                <w:sz w:val="24"/>
              </w:rPr>
            </w:pPr>
            <w:r w:rsidRPr="00971A40">
              <w:rPr>
                <w:b/>
                <w:sz w:val="24"/>
              </w:rPr>
              <w:t>Year 6</w:t>
            </w:r>
          </w:p>
        </w:tc>
        <w:tc>
          <w:tcPr>
            <w:tcW w:w="3088" w:type="dxa"/>
            <w:tcBorders>
              <w:bottom w:val="single" w:sz="4" w:space="0" w:color="auto"/>
            </w:tcBorders>
            <w:shd w:val="clear" w:color="auto" w:fill="F2DBDB" w:themeFill="accent2" w:themeFillTint="33"/>
            <w:vAlign w:val="center"/>
          </w:tcPr>
          <w:p w:rsidR="006459BA" w:rsidRDefault="006459BA" w:rsidP="00971A40">
            <w:pPr>
              <w:rPr>
                <w:rFonts w:ascii="Arial" w:hAnsi="Arial" w:cs="Arial"/>
                <w:b/>
                <w:szCs w:val="21"/>
              </w:rPr>
            </w:pPr>
            <w:r w:rsidRPr="007F708B">
              <w:rPr>
                <w:rFonts w:ascii="Arial" w:hAnsi="Arial" w:cs="Arial"/>
                <w:b/>
                <w:szCs w:val="21"/>
              </w:rPr>
              <w:t>Sustainability</w:t>
            </w:r>
            <w:r>
              <w:rPr>
                <w:rFonts w:ascii="Arial" w:hAnsi="Arial" w:cs="Arial"/>
                <w:b/>
                <w:szCs w:val="21"/>
              </w:rPr>
              <w:t>: Global footprints</w:t>
            </w:r>
          </w:p>
          <w:p w:rsidR="006459BA" w:rsidRDefault="006459BA" w:rsidP="00971A40">
            <w:r>
              <w:rPr>
                <w:lang w:val="en-US"/>
              </w:rPr>
              <w:t xml:space="preserve">Explores concepts around living sustainably, using </w:t>
            </w:r>
            <w:r>
              <w:rPr>
                <w:rStyle w:val="Emphasis"/>
                <w:lang w:val="en-US"/>
              </w:rPr>
              <w:t>The Short and Incredibly Happy Life of Riley</w:t>
            </w:r>
            <w:r>
              <w:rPr>
                <w:lang w:val="en-US"/>
              </w:rPr>
              <w:t xml:space="preserve">, by Colin Thompson and Amy Lissiat, a video ‘Ida’s story’, and </w:t>
            </w:r>
            <w:r>
              <w:rPr>
                <w:rStyle w:val="Emphasis"/>
                <w:lang w:val="en-US"/>
              </w:rPr>
              <w:t>Blueback: A fable for all ages</w:t>
            </w:r>
            <w:r>
              <w:rPr>
                <w:lang w:val="en-US"/>
              </w:rPr>
              <w:t>, by Tim Winton.</w:t>
            </w:r>
          </w:p>
        </w:tc>
        <w:tc>
          <w:tcPr>
            <w:tcW w:w="2970" w:type="dxa"/>
            <w:tcBorders>
              <w:bottom w:val="single" w:sz="4" w:space="0" w:color="auto"/>
            </w:tcBorders>
            <w:shd w:val="clear" w:color="auto" w:fill="F2DBDB" w:themeFill="accent2" w:themeFillTint="33"/>
            <w:vAlign w:val="center"/>
          </w:tcPr>
          <w:p w:rsidR="006459BA" w:rsidRDefault="006459BA" w:rsidP="00971A40">
            <w:pPr>
              <w:rPr>
                <w:rFonts w:ascii="Arial" w:hAnsi="Arial" w:cs="Arial"/>
                <w:b/>
                <w:lang w:val="en-US"/>
              </w:rPr>
            </w:pPr>
            <w:r w:rsidRPr="006459BA">
              <w:rPr>
                <w:rFonts w:ascii="Arial" w:hAnsi="Arial" w:cs="Arial"/>
                <w:b/>
                <w:lang w:val="en-US"/>
              </w:rPr>
              <w:t>Refugees and Migration</w:t>
            </w:r>
            <w:r>
              <w:rPr>
                <w:rFonts w:ascii="Arial" w:hAnsi="Arial" w:cs="Arial"/>
                <w:b/>
                <w:lang w:val="en-US"/>
              </w:rPr>
              <w:t>: Global people</w:t>
            </w:r>
          </w:p>
          <w:p w:rsidR="006459BA" w:rsidRPr="00AD29AE" w:rsidRDefault="006459BA" w:rsidP="00971A40">
            <w:pPr>
              <w:rPr>
                <w:rFonts w:ascii="Arial" w:hAnsi="Arial" w:cs="Arial"/>
                <w:b/>
                <w:lang w:val="en-US"/>
              </w:rPr>
            </w:pPr>
            <w:r>
              <w:rPr>
                <w:lang w:val="en-US"/>
              </w:rPr>
              <w:t xml:space="preserve">Explores the human dimension of migration with the picture story book </w:t>
            </w:r>
            <w:r>
              <w:rPr>
                <w:rStyle w:val="Emphasis"/>
                <w:lang w:val="en-US"/>
              </w:rPr>
              <w:t>Ziba Came on a Boat</w:t>
            </w:r>
            <w:r>
              <w:rPr>
                <w:lang w:val="en-US"/>
              </w:rPr>
              <w:t>, by Liz Lofthouse and Robert Ingpen, and the true story of Najeeba, an asylum seeker from Afghanistan.</w:t>
            </w:r>
          </w:p>
        </w:tc>
        <w:tc>
          <w:tcPr>
            <w:tcW w:w="2970" w:type="dxa"/>
            <w:tcBorders>
              <w:bottom w:val="single" w:sz="4" w:space="0" w:color="auto"/>
            </w:tcBorders>
            <w:shd w:val="clear" w:color="auto" w:fill="F2DBDB" w:themeFill="accent2" w:themeFillTint="33"/>
            <w:vAlign w:val="center"/>
          </w:tcPr>
          <w:p w:rsidR="006459BA" w:rsidRDefault="006459BA" w:rsidP="00971A40">
            <w:r w:rsidRPr="007F708B">
              <w:rPr>
                <w:rFonts w:ascii="Arial" w:hAnsi="Arial" w:cs="Arial"/>
                <w:b/>
                <w:szCs w:val="21"/>
              </w:rPr>
              <w:t>Neighbours, Asia/Pacific</w:t>
            </w:r>
            <w:r>
              <w:rPr>
                <w:rFonts w:ascii="Arial" w:hAnsi="Arial" w:cs="Arial"/>
                <w:b/>
                <w:szCs w:val="21"/>
              </w:rPr>
              <w:t>: A diverse and connected world</w:t>
            </w:r>
            <w:r w:rsidRPr="007F708B">
              <w:rPr>
                <w:rFonts w:ascii="Arial" w:hAnsi="Arial" w:cs="Arial"/>
                <w:b/>
                <w:szCs w:val="21"/>
              </w:rPr>
              <w:t xml:space="preserve"> </w:t>
            </w:r>
          </w:p>
          <w:p w:rsidR="006459BA" w:rsidRDefault="00917352" w:rsidP="00971A40">
            <w:r>
              <w:rPr>
                <w:lang w:val="en-US"/>
              </w:rPr>
              <w:t>Takes a global view of geography and ways that language is used to inform and persuade people about global issues, with as a focus on interconnections between East Timor and Australia.</w:t>
            </w:r>
          </w:p>
        </w:tc>
      </w:tr>
      <w:tr w:rsidR="006459BA" w:rsidTr="00AD29AE">
        <w:trPr>
          <w:trHeight w:val="2805"/>
        </w:trPr>
        <w:tc>
          <w:tcPr>
            <w:tcW w:w="1553" w:type="dxa"/>
            <w:shd w:val="clear" w:color="auto" w:fill="FABF8F" w:themeFill="accent6" w:themeFillTint="99"/>
            <w:vAlign w:val="center"/>
          </w:tcPr>
          <w:p w:rsidR="006459BA" w:rsidRPr="00971A40" w:rsidRDefault="006459BA" w:rsidP="00971A40">
            <w:pPr>
              <w:rPr>
                <w:b/>
                <w:sz w:val="24"/>
              </w:rPr>
            </w:pPr>
            <w:r w:rsidRPr="00971A40">
              <w:rPr>
                <w:b/>
                <w:sz w:val="24"/>
              </w:rPr>
              <w:t>Year 7</w:t>
            </w:r>
          </w:p>
        </w:tc>
        <w:tc>
          <w:tcPr>
            <w:tcW w:w="3088" w:type="dxa"/>
            <w:shd w:val="clear" w:color="auto" w:fill="FDE9D9" w:themeFill="accent6" w:themeFillTint="33"/>
            <w:vAlign w:val="center"/>
          </w:tcPr>
          <w:p w:rsidR="006459BA" w:rsidRDefault="00917352" w:rsidP="00AD29AE">
            <w:pPr>
              <w:rPr>
                <w:rFonts w:ascii="Arial" w:hAnsi="Arial" w:cs="Arial"/>
                <w:b/>
                <w:szCs w:val="21"/>
              </w:rPr>
            </w:pPr>
            <w:r w:rsidRPr="007F708B">
              <w:rPr>
                <w:rFonts w:ascii="Arial" w:hAnsi="Arial" w:cs="Arial"/>
                <w:b/>
                <w:szCs w:val="21"/>
              </w:rPr>
              <w:t>Neighbours, Asia/Pacific</w:t>
            </w:r>
            <w:r>
              <w:rPr>
                <w:rFonts w:ascii="Arial" w:hAnsi="Arial" w:cs="Arial"/>
                <w:b/>
                <w:szCs w:val="21"/>
              </w:rPr>
              <w:t>: Helping hands</w:t>
            </w:r>
          </w:p>
          <w:p w:rsidR="00917352" w:rsidRDefault="00917352" w:rsidP="00AD29AE">
            <w:r>
              <w:rPr>
                <w:lang w:val="en-US"/>
              </w:rPr>
              <w:t xml:space="preserve">Features the young adult novel </w:t>
            </w:r>
            <w:r>
              <w:rPr>
                <w:rStyle w:val="Emphasis"/>
                <w:lang w:val="en-US"/>
              </w:rPr>
              <w:t>The Killing Sea</w:t>
            </w:r>
            <w:r>
              <w:rPr>
                <w:lang w:val="en-US"/>
              </w:rPr>
              <w:t xml:space="preserve"> by Richard Lewis that explores a range of fiction, non-fiction and multi-modal texts related to the 2004 Asian tsunami and its tragic aftermath.</w:t>
            </w:r>
          </w:p>
        </w:tc>
        <w:tc>
          <w:tcPr>
            <w:tcW w:w="2970" w:type="dxa"/>
            <w:shd w:val="clear" w:color="auto" w:fill="FDE9D9" w:themeFill="accent6" w:themeFillTint="33"/>
            <w:vAlign w:val="center"/>
          </w:tcPr>
          <w:p w:rsidR="006459BA" w:rsidRDefault="00917352" w:rsidP="00AD29AE">
            <w:pPr>
              <w:rPr>
                <w:rFonts w:ascii="Arial" w:hAnsi="Arial" w:cs="Arial"/>
                <w:b/>
                <w:szCs w:val="21"/>
              </w:rPr>
            </w:pPr>
            <w:r w:rsidRPr="007F708B">
              <w:rPr>
                <w:rFonts w:ascii="Arial" w:hAnsi="Arial" w:cs="Arial"/>
                <w:b/>
                <w:szCs w:val="21"/>
              </w:rPr>
              <w:t>Sustainability</w:t>
            </w:r>
            <w:r>
              <w:rPr>
                <w:rFonts w:ascii="Arial" w:hAnsi="Arial" w:cs="Arial"/>
                <w:b/>
                <w:szCs w:val="21"/>
              </w:rPr>
              <w:t>: Changing minds, changing behaviour</w:t>
            </w:r>
          </w:p>
          <w:p w:rsidR="00917352" w:rsidRDefault="00917352" w:rsidP="00AD29AE">
            <w:r>
              <w:rPr>
                <w:lang w:val="en-US"/>
              </w:rPr>
              <w:t>Emphases media studies in English, using narrative TV advertisements and an animated documentary to explore, by critical and visual literacy, the persuasive power of advertising.</w:t>
            </w:r>
          </w:p>
        </w:tc>
        <w:tc>
          <w:tcPr>
            <w:tcW w:w="2970" w:type="dxa"/>
            <w:shd w:val="clear" w:color="auto" w:fill="FDE9D9" w:themeFill="accent6" w:themeFillTint="33"/>
            <w:vAlign w:val="center"/>
          </w:tcPr>
          <w:p w:rsidR="006459BA" w:rsidRDefault="00917352" w:rsidP="00AD29AE">
            <w:pPr>
              <w:rPr>
                <w:rFonts w:ascii="Arial" w:hAnsi="Arial" w:cs="Arial"/>
                <w:b/>
                <w:szCs w:val="21"/>
              </w:rPr>
            </w:pPr>
            <w:r w:rsidRPr="007F708B">
              <w:rPr>
                <w:rFonts w:ascii="Arial" w:hAnsi="Arial" w:cs="Arial"/>
                <w:b/>
                <w:szCs w:val="21"/>
              </w:rPr>
              <w:t>Neighbours, Asia/Pacific</w:t>
            </w:r>
            <w:r>
              <w:rPr>
                <w:rFonts w:ascii="Arial" w:hAnsi="Arial" w:cs="Arial"/>
                <w:b/>
                <w:szCs w:val="21"/>
              </w:rPr>
              <w:t>: Water in the world</w:t>
            </w:r>
          </w:p>
          <w:p w:rsidR="00917352" w:rsidRDefault="00917352" w:rsidP="00AD29AE">
            <w:r>
              <w:rPr>
                <w:lang w:val="en-US"/>
              </w:rPr>
              <w:t>Develops students’ knowledge of floods as hydrological hazards and of the importance of access to clean water, using texts with examples from Australia and Indonesia.</w:t>
            </w:r>
          </w:p>
        </w:tc>
      </w:tr>
    </w:tbl>
    <w:p w:rsidR="00075EE2" w:rsidRDefault="00075EE2"/>
    <w:p w:rsidR="00971A40" w:rsidRDefault="00971A40">
      <w:r>
        <w:rPr>
          <w:noProof/>
          <w:lang w:eastAsia="en-AU"/>
        </w:rPr>
        <w:lastRenderedPageBreak/>
        <w:drawing>
          <wp:anchor distT="0" distB="0" distL="114300" distR="114300" simplePos="0" relativeHeight="251658240" behindDoc="0" locked="0" layoutInCell="1" allowOverlap="1" wp14:anchorId="3E3E6FE4" wp14:editId="7C5759B0">
            <wp:simplePos x="0" y="0"/>
            <wp:positionH relativeFrom="column">
              <wp:posOffset>16473</wp:posOffset>
            </wp:positionH>
            <wp:positionV relativeFrom="paragraph">
              <wp:posOffset>116636</wp:posOffset>
            </wp:positionV>
            <wp:extent cx="7065010" cy="702373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4528" t="7199" r="25254" b="12917"/>
                    <a:stretch/>
                  </pic:blipFill>
                  <pic:spPr bwMode="auto">
                    <a:xfrm>
                      <a:off x="0" y="0"/>
                      <a:ext cx="7065010" cy="7023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2919AB">
      <w:hyperlink r:id="rId6" w:history="1">
        <w:r w:rsidRPr="002B7DB5">
          <w:rPr>
            <w:rStyle w:val="Hyperlink"/>
          </w:rPr>
          <w:t>http://www.globalwords.edu.au/</w:t>
        </w:r>
      </w:hyperlink>
      <w:r>
        <w:t xml:space="preserve"> </w:t>
      </w:r>
    </w:p>
    <w:p w:rsidR="00971A40" w:rsidRDefault="00971A40"/>
    <w:p w:rsidR="00971A40" w:rsidRDefault="00971A40"/>
    <w:p w:rsidR="00971A40" w:rsidRDefault="00971A40">
      <w:r>
        <w:rPr>
          <w:noProof/>
          <w:lang w:eastAsia="en-AU"/>
        </w:rPr>
        <w:lastRenderedPageBreak/>
        <w:drawing>
          <wp:anchor distT="0" distB="0" distL="114300" distR="114300" simplePos="0" relativeHeight="251659264" behindDoc="0" locked="0" layoutInCell="1" allowOverlap="1" wp14:anchorId="6E993DDB" wp14:editId="07E6E689">
            <wp:simplePos x="0" y="0"/>
            <wp:positionH relativeFrom="column">
              <wp:posOffset>13970</wp:posOffset>
            </wp:positionH>
            <wp:positionV relativeFrom="paragraph">
              <wp:posOffset>177656</wp:posOffset>
            </wp:positionV>
            <wp:extent cx="6996022" cy="586435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5109" t="7663" r="25544" b="26154"/>
                    <a:stretch/>
                  </pic:blipFill>
                  <pic:spPr bwMode="auto">
                    <a:xfrm>
                      <a:off x="0" y="0"/>
                      <a:ext cx="6996022" cy="58643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Default="00971A40"/>
    <w:p w:rsidR="00971A40" w:rsidRPr="00971A40" w:rsidRDefault="00971A40" w:rsidP="00971A40"/>
    <w:p w:rsidR="00971A40" w:rsidRPr="00971A40" w:rsidRDefault="00971A40" w:rsidP="00971A40"/>
    <w:p w:rsidR="00971A40" w:rsidRPr="00971A40" w:rsidRDefault="00971A40" w:rsidP="00971A40"/>
    <w:p w:rsidR="00971A40" w:rsidRPr="00971A40" w:rsidRDefault="00971A40" w:rsidP="00971A40"/>
    <w:p w:rsidR="00971A40" w:rsidRPr="00971A40" w:rsidRDefault="00971A40" w:rsidP="00971A40"/>
    <w:p w:rsidR="00971A40" w:rsidRPr="00971A40" w:rsidRDefault="00971A40" w:rsidP="00971A40"/>
    <w:p w:rsidR="00971A40" w:rsidRDefault="00971A40" w:rsidP="00971A40"/>
    <w:p w:rsidR="00971A40" w:rsidRDefault="00971A40" w:rsidP="00971A40">
      <w:pPr>
        <w:tabs>
          <w:tab w:val="left" w:pos="3532"/>
        </w:tabs>
      </w:pPr>
      <w:r>
        <w:tab/>
      </w:r>
    </w:p>
    <w:p w:rsidR="00971A40" w:rsidRDefault="00971A40" w:rsidP="00971A40">
      <w:pPr>
        <w:tabs>
          <w:tab w:val="left" w:pos="3532"/>
        </w:tabs>
      </w:pPr>
    </w:p>
    <w:p w:rsidR="002919AB" w:rsidRDefault="00971A40" w:rsidP="00971A40">
      <w:pPr>
        <w:tabs>
          <w:tab w:val="left" w:pos="3532"/>
        </w:tabs>
      </w:pPr>
      <w:r>
        <w:rPr>
          <w:noProof/>
          <w:lang w:eastAsia="en-AU"/>
        </w:rPr>
        <w:drawing>
          <wp:inline distT="0" distB="0" distL="0" distR="0" wp14:anchorId="714C05B7" wp14:editId="444E41A4">
            <wp:extent cx="7013275" cy="291349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5256" t="7663" r="25134" b="59362"/>
                    <a:stretch/>
                  </pic:blipFill>
                  <pic:spPr bwMode="auto">
                    <a:xfrm>
                      <a:off x="0" y="0"/>
                      <a:ext cx="7014860" cy="2914157"/>
                    </a:xfrm>
                    <a:prstGeom prst="rect">
                      <a:avLst/>
                    </a:prstGeom>
                    <a:ln>
                      <a:noFill/>
                    </a:ln>
                    <a:extLst>
                      <a:ext uri="{53640926-AAD7-44D8-BBD7-CCE9431645EC}">
                        <a14:shadowObscured xmlns:a14="http://schemas.microsoft.com/office/drawing/2010/main"/>
                      </a:ext>
                    </a:extLst>
                  </pic:spPr>
                </pic:pic>
              </a:graphicData>
            </a:graphic>
          </wp:inline>
        </w:drawing>
      </w:r>
    </w:p>
    <w:p w:rsidR="00971A40" w:rsidRPr="002919AB" w:rsidRDefault="002919AB" w:rsidP="002919AB">
      <w:pPr>
        <w:tabs>
          <w:tab w:val="left" w:pos="954"/>
        </w:tabs>
      </w:pPr>
      <w:r>
        <w:tab/>
      </w:r>
      <w:hyperlink r:id="rId9" w:history="1">
        <w:r w:rsidRPr="002B7DB5">
          <w:rPr>
            <w:rStyle w:val="Hyperlink"/>
          </w:rPr>
          <w:t>http://www.globalwords.edu.au/</w:t>
        </w:r>
      </w:hyperlink>
      <w:r>
        <w:t xml:space="preserve"> </w:t>
      </w:r>
      <w:bookmarkStart w:id="0" w:name="_GoBack"/>
      <w:bookmarkEnd w:id="0"/>
    </w:p>
    <w:sectPr w:rsidR="00971A40" w:rsidRPr="002919AB" w:rsidSect="00971A40">
      <w:pgSz w:w="11906" w:h="16838"/>
      <w:pgMar w:top="426"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E2"/>
    <w:rsid w:val="00075EE2"/>
    <w:rsid w:val="00255748"/>
    <w:rsid w:val="002919AB"/>
    <w:rsid w:val="0044753C"/>
    <w:rsid w:val="006459BA"/>
    <w:rsid w:val="007E0B62"/>
    <w:rsid w:val="008036DC"/>
    <w:rsid w:val="00917352"/>
    <w:rsid w:val="00971A40"/>
    <w:rsid w:val="00A70110"/>
    <w:rsid w:val="00AD29AE"/>
    <w:rsid w:val="00F5147A"/>
    <w:rsid w:val="00FB7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75EE2"/>
    <w:rPr>
      <w:i/>
      <w:iCs/>
    </w:rPr>
  </w:style>
  <w:style w:type="paragraph" w:styleId="BalloonText">
    <w:name w:val="Balloon Text"/>
    <w:basedOn w:val="Normal"/>
    <w:link w:val="BalloonTextChar"/>
    <w:uiPriority w:val="99"/>
    <w:semiHidden/>
    <w:unhideWhenUsed/>
    <w:rsid w:val="00971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40"/>
    <w:rPr>
      <w:rFonts w:ascii="Tahoma" w:hAnsi="Tahoma" w:cs="Tahoma"/>
      <w:sz w:val="16"/>
      <w:szCs w:val="16"/>
    </w:rPr>
  </w:style>
  <w:style w:type="character" w:styleId="Hyperlink">
    <w:name w:val="Hyperlink"/>
    <w:basedOn w:val="DefaultParagraphFont"/>
    <w:uiPriority w:val="99"/>
    <w:unhideWhenUsed/>
    <w:rsid w:val="002919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75EE2"/>
    <w:rPr>
      <w:i/>
      <w:iCs/>
    </w:rPr>
  </w:style>
  <w:style w:type="paragraph" w:styleId="BalloonText">
    <w:name w:val="Balloon Text"/>
    <w:basedOn w:val="Normal"/>
    <w:link w:val="BalloonTextChar"/>
    <w:uiPriority w:val="99"/>
    <w:semiHidden/>
    <w:unhideWhenUsed/>
    <w:rsid w:val="00971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40"/>
    <w:rPr>
      <w:rFonts w:ascii="Tahoma" w:hAnsi="Tahoma" w:cs="Tahoma"/>
      <w:sz w:val="16"/>
      <w:szCs w:val="16"/>
    </w:rPr>
  </w:style>
  <w:style w:type="character" w:styleId="Hyperlink">
    <w:name w:val="Hyperlink"/>
    <w:basedOn w:val="DefaultParagraphFont"/>
    <w:uiPriority w:val="99"/>
    <w:unhideWhenUsed/>
    <w:rsid w:val="00291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63465">
      <w:bodyDiv w:val="1"/>
      <w:marLeft w:val="0"/>
      <w:marRight w:val="0"/>
      <w:marTop w:val="0"/>
      <w:marBottom w:val="0"/>
      <w:divBdr>
        <w:top w:val="none" w:sz="0" w:space="0" w:color="auto"/>
        <w:left w:val="none" w:sz="0" w:space="0" w:color="auto"/>
        <w:bottom w:val="none" w:sz="0" w:space="0" w:color="auto"/>
        <w:right w:val="none" w:sz="0" w:space="0" w:color="auto"/>
      </w:divBdr>
      <w:divsChild>
        <w:div w:id="163858184">
          <w:marLeft w:val="0"/>
          <w:marRight w:val="0"/>
          <w:marTop w:val="0"/>
          <w:marBottom w:val="450"/>
          <w:divBdr>
            <w:top w:val="none" w:sz="0" w:space="0" w:color="auto"/>
            <w:left w:val="single" w:sz="6" w:space="0" w:color="CCCCCC"/>
            <w:bottom w:val="single" w:sz="6" w:space="0" w:color="CCCCCC"/>
            <w:right w:val="single" w:sz="6" w:space="0" w:color="CCCCCC"/>
          </w:divBdr>
          <w:divsChild>
            <w:div w:id="1449278849">
              <w:marLeft w:val="0"/>
              <w:marRight w:val="0"/>
              <w:marTop w:val="0"/>
              <w:marBottom w:val="0"/>
              <w:divBdr>
                <w:top w:val="none" w:sz="0" w:space="0" w:color="auto"/>
                <w:left w:val="none" w:sz="0" w:space="0" w:color="auto"/>
                <w:bottom w:val="none" w:sz="0" w:space="0" w:color="auto"/>
                <w:right w:val="none" w:sz="0" w:space="0" w:color="auto"/>
              </w:divBdr>
              <w:divsChild>
                <w:div w:id="4664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obalwords.edu.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obalword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2014-08-11T00:55:00Z</cp:lastPrinted>
  <dcterms:created xsi:type="dcterms:W3CDTF">2014-06-24T01:00:00Z</dcterms:created>
  <dcterms:modified xsi:type="dcterms:W3CDTF">2014-09-23T22:54:00Z</dcterms:modified>
</cp:coreProperties>
</file>